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71" w:rsidRPr="00D81271" w:rsidRDefault="00D81271" w:rsidP="00D81271">
      <w:pPr>
        <w:widowControl w:val="0"/>
        <w:pBdr>
          <w:bottom w:val="single" w:sz="4" w:space="1" w:color="auto"/>
        </w:pBdr>
        <w:autoSpaceDE w:val="0"/>
        <w:autoSpaceDN w:val="0"/>
        <w:adjustRightInd w:val="0"/>
        <w:rPr>
          <w:rFonts w:ascii="Arial" w:hAnsi="Arial" w:cs="Arial"/>
          <w:b/>
          <w:sz w:val="22"/>
          <w:szCs w:val="22"/>
        </w:rPr>
      </w:pPr>
      <w:r w:rsidRPr="00D81271">
        <w:rPr>
          <w:rFonts w:ascii="Arial" w:hAnsi="Arial" w:cs="Arial"/>
          <w:b/>
          <w:sz w:val="22"/>
          <w:szCs w:val="22"/>
        </w:rPr>
        <w:t>Service Load Recommendations</w:t>
      </w:r>
    </w:p>
    <w:p w:rsidR="00D81271" w:rsidRPr="00D81271" w:rsidRDefault="00D81271" w:rsidP="00D81271">
      <w:pPr>
        <w:widowControl w:val="0"/>
        <w:autoSpaceDE w:val="0"/>
        <w:autoSpaceDN w:val="0"/>
        <w:adjustRightInd w:val="0"/>
        <w:rPr>
          <w:rFonts w:ascii="Arial" w:hAnsi="Arial" w:cs="Arial"/>
          <w:sz w:val="20"/>
          <w:szCs w:val="20"/>
        </w:rPr>
      </w:pPr>
      <w:r w:rsidRPr="00D81271">
        <w:rPr>
          <w:rFonts w:ascii="Arial" w:hAnsi="Arial" w:cs="Arial"/>
          <w:sz w:val="20"/>
          <w:szCs w:val="20"/>
        </w:rPr>
        <w:t xml:space="preserve">Colleges and departments need to define excellence in service in promotion and tenure documents to assure that service work, so necessary to the function of the university, is appropriately valued.  But given that much research (both nationally and at NDSU) suggests that service is a gendered activity, that women often do more than men, and that its undervalue reflected that gendered dimension, this sheet attempts to help departments think about varied service loads for men and women.  The goal should be to set both minimum and maximum levels of </w:t>
      </w:r>
      <w:r>
        <w:rPr>
          <w:rFonts w:ascii="Arial" w:hAnsi="Arial" w:cs="Arial"/>
          <w:sz w:val="20"/>
          <w:szCs w:val="20"/>
        </w:rPr>
        <w:t xml:space="preserve">annual </w:t>
      </w:r>
      <w:r w:rsidRPr="00D81271">
        <w:rPr>
          <w:rFonts w:ascii="Arial" w:hAnsi="Arial" w:cs="Arial"/>
          <w:sz w:val="20"/>
          <w:szCs w:val="20"/>
        </w:rPr>
        <w:t>service by rank.  This sheet makes suggestions</w:t>
      </w:r>
      <w:r>
        <w:rPr>
          <w:rFonts w:ascii="Arial" w:hAnsi="Arial" w:cs="Arial"/>
          <w:sz w:val="20"/>
          <w:szCs w:val="20"/>
        </w:rPr>
        <w:t>; individual departments must set their own values, within the guidelines set by colleges, and with the leadership of their chair.  This chart simply attempts to reflect the kinds of service obligations a member of a department might be asked to undertake.</w:t>
      </w:r>
    </w:p>
    <w:tbl>
      <w:tblPr>
        <w:tblStyle w:val="TableGrid"/>
        <w:tblW w:w="0" w:type="auto"/>
        <w:tblLook w:val="04A0"/>
      </w:tblPr>
      <w:tblGrid>
        <w:gridCol w:w="5077"/>
        <w:gridCol w:w="1241"/>
        <w:gridCol w:w="1035"/>
        <w:gridCol w:w="1139"/>
        <w:gridCol w:w="1084"/>
      </w:tblGrid>
      <w:tr w:rsidR="00D81271" w:rsidTr="00D81271">
        <w:tc>
          <w:tcPr>
            <w:tcW w:w="5077" w:type="dxa"/>
          </w:tcPr>
          <w:p w:rsidR="00D81271" w:rsidRDefault="00D81271" w:rsidP="00D81271">
            <w:pPr>
              <w:widowControl w:val="0"/>
              <w:autoSpaceDE w:val="0"/>
              <w:autoSpaceDN w:val="0"/>
              <w:adjustRightInd w:val="0"/>
              <w:rPr>
                <w:rFonts w:ascii="Arial" w:hAnsi="Arial" w:cs="Arial"/>
                <w:b/>
                <w:sz w:val="18"/>
                <w:szCs w:val="18"/>
              </w:rPr>
            </w:pPr>
          </w:p>
          <w:p w:rsidR="00D81271" w:rsidRPr="00AC6300" w:rsidRDefault="00D81271" w:rsidP="00D81271">
            <w:pPr>
              <w:widowControl w:val="0"/>
              <w:autoSpaceDE w:val="0"/>
              <w:autoSpaceDN w:val="0"/>
              <w:adjustRightInd w:val="0"/>
              <w:rPr>
                <w:rFonts w:ascii="Arial" w:hAnsi="Arial" w:cs="Arial"/>
                <w:sz w:val="20"/>
                <w:szCs w:val="20"/>
              </w:rPr>
            </w:pPr>
            <w:r w:rsidRPr="00AC6300">
              <w:rPr>
                <w:rFonts w:ascii="Arial" w:hAnsi="Arial" w:cs="Arial"/>
                <w:b/>
                <w:sz w:val="20"/>
                <w:szCs w:val="20"/>
              </w:rPr>
              <w:t xml:space="preserve">Type of service activity: </w:t>
            </w:r>
            <w:r w:rsidRPr="00AC6300">
              <w:rPr>
                <w:rFonts w:ascii="Arial" w:hAnsi="Arial" w:cs="Arial"/>
                <w:sz w:val="20"/>
                <w:szCs w:val="20"/>
              </w:rPr>
              <w:t>First three years</w:t>
            </w:r>
          </w:p>
        </w:tc>
        <w:tc>
          <w:tcPr>
            <w:tcW w:w="1241" w:type="dxa"/>
          </w:tcPr>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35" w:type="dxa"/>
          </w:tcPr>
          <w:p w:rsidR="00D81271" w:rsidRDefault="00D81271" w:rsidP="00D81271">
            <w:pPr>
              <w:widowControl w:val="0"/>
              <w:autoSpaceDE w:val="0"/>
              <w:autoSpaceDN w:val="0"/>
              <w:adjustRightInd w:val="0"/>
              <w:jc w:val="center"/>
              <w:rPr>
                <w:rFonts w:ascii="Arial" w:hAnsi="Arial" w:cs="Arial"/>
                <w:b/>
                <w:sz w:val="18"/>
                <w:szCs w:val="18"/>
              </w:rPr>
            </w:pPr>
          </w:p>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tc>
        <w:tc>
          <w:tcPr>
            <w:tcW w:w="1139" w:type="dxa"/>
          </w:tcPr>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84" w:type="dxa"/>
          </w:tcPr>
          <w:p w:rsidR="00D81271" w:rsidRDefault="00D81271" w:rsidP="00D81271">
            <w:pPr>
              <w:widowControl w:val="0"/>
              <w:autoSpaceDE w:val="0"/>
              <w:autoSpaceDN w:val="0"/>
              <w:adjustRightInd w:val="0"/>
              <w:jc w:val="center"/>
              <w:rPr>
                <w:rFonts w:ascii="Arial" w:hAnsi="Arial" w:cs="Arial"/>
                <w:b/>
                <w:sz w:val="18"/>
                <w:szCs w:val="18"/>
              </w:rPr>
            </w:pPr>
          </w:p>
          <w:p w:rsidR="00D81271" w:rsidRPr="00D81271" w:rsidRDefault="00D81271" w:rsidP="00D81271">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tc>
      </w:tr>
      <w:tr w:rsidR="00D81271" w:rsidTr="00D81271">
        <w:tc>
          <w:tcPr>
            <w:tcW w:w="5077" w:type="dxa"/>
          </w:tcPr>
          <w:p w:rsidR="00D81271" w:rsidRPr="00857555" w:rsidRDefault="00D81271" w:rsidP="00D81271">
            <w:pPr>
              <w:widowControl w:val="0"/>
              <w:autoSpaceDE w:val="0"/>
              <w:autoSpaceDN w:val="0"/>
              <w:adjustRightInd w:val="0"/>
              <w:rPr>
                <w:rFonts w:ascii="Arial" w:hAnsi="Arial" w:cs="Arial"/>
                <w:sz w:val="20"/>
                <w:szCs w:val="20"/>
              </w:rPr>
            </w:pPr>
            <w:r w:rsidRPr="00857555">
              <w:rPr>
                <w:rFonts w:ascii="Arial" w:hAnsi="Arial" w:cs="Arial"/>
                <w:sz w:val="20"/>
                <w:szCs w:val="20"/>
              </w:rPr>
              <w:t>Department Committee</w:t>
            </w:r>
          </w:p>
        </w:tc>
        <w:tc>
          <w:tcPr>
            <w:tcW w:w="1241"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D81271" w:rsidTr="00D81271">
        <w:tc>
          <w:tcPr>
            <w:tcW w:w="5077" w:type="dxa"/>
          </w:tcPr>
          <w:p w:rsidR="00D81271" w:rsidRPr="00857555" w:rsidRDefault="00D81271" w:rsidP="00D81271">
            <w:pPr>
              <w:widowControl w:val="0"/>
              <w:autoSpaceDE w:val="0"/>
              <w:autoSpaceDN w:val="0"/>
              <w:adjustRightInd w:val="0"/>
              <w:rPr>
                <w:rFonts w:ascii="Arial" w:hAnsi="Arial" w:cs="Arial"/>
                <w:sz w:val="20"/>
                <w:szCs w:val="20"/>
              </w:rPr>
            </w:pPr>
            <w:r w:rsidRPr="00857555">
              <w:rPr>
                <w:rFonts w:ascii="Arial" w:hAnsi="Arial" w:cs="Arial"/>
                <w:sz w:val="20"/>
                <w:szCs w:val="20"/>
              </w:rPr>
              <w:t>College or University Committee</w:t>
            </w:r>
          </w:p>
        </w:tc>
        <w:tc>
          <w:tcPr>
            <w:tcW w:w="1241"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D81271" w:rsidTr="00D81271">
        <w:tc>
          <w:tcPr>
            <w:tcW w:w="5077" w:type="dxa"/>
          </w:tcPr>
          <w:p w:rsidR="00D81271" w:rsidRPr="00857555" w:rsidRDefault="00D81271" w:rsidP="00D81271">
            <w:pPr>
              <w:widowControl w:val="0"/>
              <w:autoSpaceDE w:val="0"/>
              <w:autoSpaceDN w:val="0"/>
              <w:adjustRightInd w:val="0"/>
              <w:rPr>
                <w:rFonts w:ascii="Arial" w:hAnsi="Arial" w:cs="Arial"/>
                <w:sz w:val="20"/>
                <w:szCs w:val="20"/>
              </w:rPr>
            </w:pPr>
            <w:r w:rsidRPr="00857555">
              <w:rPr>
                <w:rFonts w:ascii="Arial" w:hAnsi="Arial" w:cs="Arial"/>
                <w:sz w:val="20"/>
                <w:szCs w:val="20"/>
              </w:rPr>
              <w:t>Community service obligation: board membership, organization leadership</w:t>
            </w:r>
          </w:p>
        </w:tc>
        <w:tc>
          <w:tcPr>
            <w:tcW w:w="1241"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D81271"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D81271" w:rsidTr="00D81271">
        <w:tc>
          <w:tcPr>
            <w:tcW w:w="5077" w:type="dxa"/>
          </w:tcPr>
          <w:p w:rsidR="00D81271" w:rsidRPr="00857555" w:rsidRDefault="00D81271" w:rsidP="00D81271">
            <w:pPr>
              <w:widowControl w:val="0"/>
              <w:autoSpaceDE w:val="0"/>
              <w:autoSpaceDN w:val="0"/>
              <w:adjustRightInd w:val="0"/>
              <w:rPr>
                <w:rFonts w:ascii="Arial" w:hAnsi="Arial" w:cs="Arial"/>
                <w:sz w:val="20"/>
                <w:szCs w:val="20"/>
              </w:rPr>
            </w:pPr>
            <w:r w:rsidRPr="00857555">
              <w:rPr>
                <w:rFonts w:ascii="Arial" w:hAnsi="Arial" w:cs="Arial"/>
                <w:sz w:val="20"/>
                <w:szCs w:val="20"/>
              </w:rPr>
              <w:t>Community or campus presentations</w:t>
            </w:r>
          </w:p>
        </w:tc>
        <w:tc>
          <w:tcPr>
            <w:tcW w:w="1241"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3</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D81271" w:rsidTr="00857555">
        <w:trPr>
          <w:trHeight w:val="422"/>
        </w:trPr>
        <w:tc>
          <w:tcPr>
            <w:tcW w:w="5077" w:type="dxa"/>
          </w:tcPr>
          <w:p w:rsidR="00D81271" w:rsidRPr="00857555" w:rsidRDefault="00857555" w:rsidP="00857555">
            <w:pPr>
              <w:widowControl w:val="0"/>
              <w:autoSpaceDE w:val="0"/>
              <w:autoSpaceDN w:val="0"/>
              <w:adjustRightInd w:val="0"/>
              <w:rPr>
                <w:rFonts w:ascii="Arial" w:hAnsi="Arial" w:cs="Arial"/>
                <w:sz w:val="20"/>
                <w:szCs w:val="20"/>
              </w:rPr>
            </w:pPr>
            <w:r w:rsidRPr="00857555">
              <w:rPr>
                <w:rFonts w:ascii="Arial" w:hAnsi="Arial" w:cs="Arial"/>
                <w:sz w:val="20"/>
                <w:szCs w:val="20"/>
              </w:rPr>
              <w:t>Graduate thesis directing (new commitments per year) master’s level</w:t>
            </w:r>
          </w:p>
        </w:tc>
        <w:tc>
          <w:tcPr>
            <w:tcW w:w="1241"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2</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857555" w:rsidTr="00857555">
        <w:trPr>
          <w:trHeight w:val="422"/>
        </w:trPr>
        <w:tc>
          <w:tcPr>
            <w:tcW w:w="5077" w:type="dxa"/>
          </w:tcPr>
          <w:p w:rsidR="00857555" w:rsidRPr="00857555" w:rsidRDefault="00857555" w:rsidP="00857555">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master’s level</w:t>
            </w:r>
          </w:p>
        </w:tc>
        <w:tc>
          <w:tcPr>
            <w:tcW w:w="1241" w:type="dxa"/>
          </w:tcPr>
          <w:p w:rsidR="00857555"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857555" w:rsidRPr="00857555" w:rsidRDefault="00857555" w:rsidP="00D81271">
            <w:pPr>
              <w:widowControl w:val="0"/>
              <w:autoSpaceDE w:val="0"/>
              <w:autoSpaceDN w:val="0"/>
              <w:adjustRightInd w:val="0"/>
              <w:jc w:val="center"/>
              <w:rPr>
                <w:rFonts w:ascii="Arial" w:hAnsi="Arial" w:cs="Arial"/>
                <w:sz w:val="20"/>
                <w:szCs w:val="20"/>
              </w:rPr>
            </w:pPr>
          </w:p>
        </w:tc>
        <w:tc>
          <w:tcPr>
            <w:tcW w:w="1139" w:type="dxa"/>
          </w:tcPr>
          <w:p w:rsidR="00857555"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857555" w:rsidRPr="00857555" w:rsidRDefault="00857555" w:rsidP="00D81271">
            <w:pPr>
              <w:widowControl w:val="0"/>
              <w:autoSpaceDE w:val="0"/>
              <w:autoSpaceDN w:val="0"/>
              <w:adjustRightInd w:val="0"/>
              <w:jc w:val="center"/>
              <w:rPr>
                <w:rFonts w:ascii="Arial" w:hAnsi="Arial" w:cs="Arial"/>
                <w:sz w:val="20"/>
                <w:szCs w:val="20"/>
              </w:rPr>
            </w:pPr>
          </w:p>
        </w:tc>
      </w:tr>
      <w:tr w:rsidR="00D81271" w:rsidTr="00D81271">
        <w:tc>
          <w:tcPr>
            <w:tcW w:w="5077" w:type="dxa"/>
          </w:tcPr>
          <w:p w:rsidR="00D81271" w:rsidRPr="00857555" w:rsidRDefault="00857555" w:rsidP="00857555">
            <w:pPr>
              <w:widowControl w:val="0"/>
              <w:autoSpaceDE w:val="0"/>
              <w:autoSpaceDN w:val="0"/>
              <w:adjustRightInd w:val="0"/>
              <w:rPr>
                <w:rFonts w:ascii="Arial" w:hAnsi="Arial" w:cs="Arial"/>
                <w:sz w:val="20"/>
                <w:szCs w:val="20"/>
              </w:rPr>
            </w:pPr>
            <w:r w:rsidRPr="00857555">
              <w:rPr>
                <w:rFonts w:ascii="Arial" w:hAnsi="Arial" w:cs="Arial"/>
                <w:sz w:val="20"/>
                <w:szCs w:val="20"/>
              </w:rPr>
              <w:t>Graduate dissertation directing (new commitments per year) doctoral</w:t>
            </w:r>
          </w:p>
        </w:tc>
        <w:tc>
          <w:tcPr>
            <w:tcW w:w="1241"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0-1</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D81271" w:rsidTr="00D81271">
        <w:tc>
          <w:tcPr>
            <w:tcW w:w="5077" w:type="dxa"/>
          </w:tcPr>
          <w:p w:rsidR="00D81271" w:rsidRPr="00857555" w:rsidRDefault="00857555" w:rsidP="00857555">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doctoral</w:t>
            </w:r>
          </w:p>
        </w:tc>
        <w:tc>
          <w:tcPr>
            <w:tcW w:w="1241"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D81271" w:rsidRPr="00857555" w:rsidRDefault="00D81271" w:rsidP="00D81271">
            <w:pPr>
              <w:widowControl w:val="0"/>
              <w:autoSpaceDE w:val="0"/>
              <w:autoSpaceDN w:val="0"/>
              <w:adjustRightInd w:val="0"/>
              <w:jc w:val="center"/>
              <w:rPr>
                <w:rFonts w:ascii="Arial" w:hAnsi="Arial" w:cs="Arial"/>
                <w:sz w:val="20"/>
                <w:szCs w:val="20"/>
              </w:rPr>
            </w:pPr>
          </w:p>
        </w:tc>
        <w:tc>
          <w:tcPr>
            <w:tcW w:w="1139" w:type="dxa"/>
          </w:tcPr>
          <w:p w:rsidR="00D81271" w:rsidRPr="00857555" w:rsidRDefault="00857555" w:rsidP="00D81271">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D81271" w:rsidRPr="00857555" w:rsidRDefault="00D81271" w:rsidP="00D81271">
            <w:pPr>
              <w:widowControl w:val="0"/>
              <w:autoSpaceDE w:val="0"/>
              <w:autoSpaceDN w:val="0"/>
              <w:adjustRightInd w:val="0"/>
              <w:jc w:val="center"/>
              <w:rPr>
                <w:rFonts w:ascii="Arial" w:hAnsi="Arial" w:cs="Arial"/>
                <w:sz w:val="20"/>
                <w:szCs w:val="20"/>
              </w:rPr>
            </w:pPr>
          </w:p>
        </w:tc>
      </w:tr>
      <w:tr w:rsidR="00857555" w:rsidTr="00857555">
        <w:trPr>
          <w:trHeight w:val="950"/>
        </w:trPr>
        <w:tc>
          <w:tcPr>
            <w:tcW w:w="9576" w:type="dxa"/>
            <w:gridSpan w:val="5"/>
          </w:tcPr>
          <w:p w:rsidR="00857555" w:rsidRPr="00CE2D1F" w:rsidRDefault="00857555" w:rsidP="00AC6300">
            <w:pPr>
              <w:widowControl w:val="0"/>
              <w:autoSpaceDE w:val="0"/>
              <w:autoSpaceDN w:val="0"/>
              <w:adjustRightInd w:val="0"/>
              <w:rPr>
                <w:rFonts w:ascii="Arial" w:hAnsi="Arial" w:cs="Arial"/>
                <w:sz w:val="18"/>
                <w:szCs w:val="18"/>
              </w:rPr>
            </w:pPr>
            <w:r w:rsidRPr="00CE2D1F">
              <w:rPr>
                <w:rFonts w:ascii="Arial" w:hAnsi="Arial" w:cs="Arial"/>
                <w:sz w:val="18"/>
                <w:szCs w:val="18"/>
              </w:rPr>
              <w:t xml:space="preserve">Departments might wish to find a mechanism through which requests for the service of new faculty go through the department head, who, in consultation with </w:t>
            </w:r>
            <w:r w:rsidR="00AC6300" w:rsidRPr="00CE2D1F">
              <w:rPr>
                <w:rFonts w:ascii="Arial" w:hAnsi="Arial" w:cs="Arial"/>
                <w:sz w:val="18"/>
                <w:szCs w:val="18"/>
              </w:rPr>
              <w:t xml:space="preserve">the </w:t>
            </w:r>
            <w:r w:rsidRPr="00CE2D1F">
              <w:rPr>
                <w:rFonts w:ascii="Arial" w:hAnsi="Arial" w:cs="Arial"/>
                <w:sz w:val="18"/>
                <w:szCs w:val="18"/>
              </w:rPr>
              <w:t>new faculty</w:t>
            </w:r>
            <w:r w:rsidR="00AC6300" w:rsidRPr="00CE2D1F">
              <w:rPr>
                <w:rFonts w:ascii="Arial" w:hAnsi="Arial" w:cs="Arial"/>
                <w:sz w:val="18"/>
                <w:szCs w:val="18"/>
              </w:rPr>
              <w:t xml:space="preserve"> member</w:t>
            </w:r>
            <w:r w:rsidRPr="00CE2D1F">
              <w:rPr>
                <w:rFonts w:ascii="Arial" w:hAnsi="Arial" w:cs="Arial"/>
                <w:sz w:val="18"/>
                <w:szCs w:val="18"/>
              </w:rPr>
              <w:t xml:space="preserve">, might choose appropriate </w:t>
            </w:r>
            <w:r w:rsidR="00AC6300" w:rsidRPr="00CE2D1F">
              <w:rPr>
                <w:rFonts w:ascii="Arial" w:hAnsi="Arial" w:cs="Arial"/>
                <w:sz w:val="18"/>
                <w:szCs w:val="18"/>
              </w:rPr>
              <w:t>service. Telling faculty that they must say no to service does not work, because sometimes requests come from people to whom junior faculty do not feel empowered to say no.  Having departmental guidelines can help new faculty understand more clearly what normal and agreed upon expectations look like.</w:t>
            </w:r>
          </w:p>
        </w:tc>
      </w:tr>
    </w:tbl>
    <w:p w:rsidR="00D81271" w:rsidRPr="00D81271" w:rsidRDefault="00D81271" w:rsidP="00D81271">
      <w:pPr>
        <w:widowControl w:val="0"/>
        <w:autoSpaceDE w:val="0"/>
        <w:autoSpaceDN w:val="0"/>
        <w:adjustRightInd w:val="0"/>
        <w:rPr>
          <w:rFonts w:ascii="Arial" w:hAnsi="Arial" w:cs="Arial"/>
          <w:sz w:val="20"/>
          <w:szCs w:val="20"/>
        </w:rPr>
      </w:pPr>
    </w:p>
    <w:p w:rsidR="00D81271" w:rsidRDefault="00D81271" w:rsidP="00D81271">
      <w:pPr>
        <w:widowControl w:val="0"/>
        <w:autoSpaceDE w:val="0"/>
        <w:autoSpaceDN w:val="0"/>
        <w:adjustRightInd w:val="0"/>
        <w:rPr>
          <w:rFonts w:ascii="Times New Roman" w:hAnsi="Times New Roman" w:cs="Times New Roman"/>
          <w:sz w:val="22"/>
          <w:szCs w:val="22"/>
        </w:rPr>
      </w:pPr>
    </w:p>
    <w:tbl>
      <w:tblPr>
        <w:tblStyle w:val="TableGrid"/>
        <w:tblW w:w="0" w:type="auto"/>
        <w:tblLook w:val="04A0"/>
      </w:tblPr>
      <w:tblGrid>
        <w:gridCol w:w="5077"/>
        <w:gridCol w:w="1241"/>
        <w:gridCol w:w="1035"/>
        <w:gridCol w:w="1139"/>
        <w:gridCol w:w="1084"/>
      </w:tblGrid>
      <w:tr w:rsidR="00AC6300" w:rsidTr="00AC6300">
        <w:tc>
          <w:tcPr>
            <w:tcW w:w="5077" w:type="dxa"/>
          </w:tcPr>
          <w:p w:rsidR="00AC6300" w:rsidRDefault="00AC6300" w:rsidP="00AC6300">
            <w:pPr>
              <w:widowControl w:val="0"/>
              <w:autoSpaceDE w:val="0"/>
              <w:autoSpaceDN w:val="0"/>
              <w:adjustRightInd w:val="0"/>
              <w:rPr>
                <w:rFonts w:ascii="Arial" w:hAnsi="Arial" w:cs="Arial"/>
                <w:b/>
                <w:sz w:val="18"/>
                <w:szCs w:val="18"/>
              </w:rPr>
            </w:pPr>
          </w:p>
          <w:p w:rsidR="00AC6300" w:rsidRPr="00AC6300" w:rsidRDefault="00AC6300" w:rsidP="00AC6300">
            <w:pPr>
              <w:widowControl w:val="0"/>
              <w:autoSpaceDE w:val="0"/>
              <w:autoSpaceDN w:val="0"/>
              <w:adjustRightInd w:val="0"/>
              <w:rPr>
                <w:rFonts w:ascii="Arial" w:hAnsi="Arial" w:cs="Arial"/>
                <w:sz w:val="20"/>
                <w:szCs w:val="20"/>
              </w:rPr>
            </w:pPr>
            <w:r w:rsidRPr="00AC6300">
              <w:rPr>
                <w:rFonts w:ascii="Arial" w:hAnsi="Arial" w:cs="Arial"/>
                <w:b/>
                <w:sz w:val="20"/>
                <w:szCs w:val="20"/>
              </w:rPr>
              <w:t xml:space="preserve">Type of service activity: </w:t>
            </w:r>
            <w:r>
              <w:rPr>
                <w:rFonts w:ascii="Arial" w:hAnsi="Arial" w:cs="Arial"/>
                <w:sz w:val="20"/>
                <w:szCs w:val="20"/>
              </w:rPr>
              <w:t>Second</w:t>
            </w:r>
            <w:r w:rsidRPr="00AC6300">
              <w:rPr>
                <w:rFonts w:ascii="Arial" w:hAnsi="Arial" w:cs="Arial"/>
                <w:sz w:val="20"/>
                <w:szCs w:val="20"/>
              </w:rPr>
              <w:t xml:space="preserve"> three years</w:t>
            </w:r>
          </w:p>
        </w:tc>
        <w:tc>
          <w:tcPr>
            <w:tcW w:w="1241" w:type="dxa"/>
          </w:tcPr>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35" w:type="dxa"/>
          </w:tcPr>
          <w:p w:rsidR="00AC6300" w:rsidRDefault="00AC6300" w:rsidP="00AC6300">
            <w:pPr>
              <w:widowControl w:val="0"/>
              <w:autoSpaceDE w:val="0"/>
              <w:autoSpaceDN w:val="0"/>
              <w:adjustRightInd w:val="0"/>
              <w:jc w:val="center"/>
              <w:rPr>
                <w:rFonts w:ascii="Arial" w:hAnsi="Arial" w:cs="Arial"/>
                <w:b/>
                <w:sz w:val="18"/>
                <w:szCs w:val="18"/>
              </w:rPr>
            </w:pPr>
          </w:p>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tc>
        <w:tc>
          <w:tcPr>
            <w:tcW w:w="1139" w:type="dxa"/>
          </w:tcPr>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84" w:type="dxa"/>
          </w:tcPr>
          <w:p w:rsidR="00AC6300" w:rsidRDefault="00AC6300" w:rsidP="00AC6300">
            <w:pPr>
              <w:widowControl w:val="0"/>
              <w:autoSpaceDE w:val="0"/>
              <w:autoSpaceDN w:val="0"/>
              <w:adjustRightInd w:val="0"/>
              <w:jc w:val="center"/>
              <w:rPr>
                <w:rFonts w:ascii="Arial" w:hAnsi="Arial" w:cs="Arial"/>
                <w:b/>
                <w:sz w:val="18"/>
                <w:szCs w:val="18"/>
              </w:rPr>
            </w:pPr>
          </w:p>
          <w:p w:rsidR="00AC6300" w:rsidRPr="00D81271" w:rsidRDefault="00AC6300" w:rsidP="00AC6300">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Department Committee</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CE2D1F" w:rsidP="00AC6300">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Pr>
                <w:rFonts w:ascii="Arial" w:hAnsi="Arial" w:cs="Arial"/>
                <w:sz w:val="20"/>
                <w:szCs w:val="20"/>
              </w:rPr>
              <w:t>College Committee</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University Committee</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Community service obligation: board membership, organization leadership</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Community or campus presentations</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5</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rPr>
          <w:trHeight w:val="422"/>
        </w:trPr>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Graduate thesis directing (new commitments per year) master’s level</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rPr>
          <w:trHeight w:val="422"/>
        </w:trPr>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master’s level</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Graduate dissertation directing (new commitments per year) doctoral</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0-1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c>
          <w:tcPr>
            <w:tcW w:w="5077" w:type="dxa"/>
          </w:tcPr>
          <w:p w:rsidR="00AC6300" w:rsidRPr="00857555" w:rsidRDefault="00AC6300" w:rsidP="00AC6300">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doctoral</w:t>
            </w:r>
          </w:p>
        </w:tc>
        <w:tc>
          <w:tcPr>
            <w:tcW w:w="1241" w:type="dxa"/>
          </w:tcPr>
          <w:p w:rsidR="00AC6300" w:rsidRPr="00857555" w:rsidRDefault="00AC6300" w:rsidP="00AC6300">
            <w:pPr>
              <w:widowControl w:val="0"/>
              <w:autoSpaceDE w:val="0"/>
              <w:autoSpaceDN w:val="0"/>
              <w:adjustRightInd w:val="0"/>
              <w:jc w:val="center"/>
              <w:rPr>
                <w:rFonts w:ascii="Arial" w:hAnsi="Arial" w:cs="Arial"/>
                <w:sz w:val="20"/>
                <w:szCs w:val="20"/>
              </w:rPr>
            </w:pPr>
            <w:r w:rsidRPr="00857555">
              <w:rPr>
                <w:rFonts w:ascii="Arial" w:hAnsi="Arial" w:cs="Arial"/>
                <w:sz w:val="20"/>
                <w:szCs w:val="20"/>
              </w:rPr>
              <w:t>0</w:t>
            </w:r>
            <w:r>
              <w:rPr>
                <w:rFonts w:ascii="Arial" w:hAnsi="Arial" w:cs="Arial"/>
                <w:sz w:val="20"/>
                <w:szCs w:val="20"/>
              </w:rPr>
              <w:t>-1</w:t>
            </w:r>
          </w:p>
        </w:tc>
        <w:tc>
          <w:tcPr>
            <w:tcW w:w="1035" w:type="dxa"/>
          </w:tcPr>
          <w:p w:rsidR="00AC6300" w:rsidRPr="00857555" w:rsidRDefault="00AC6300" w:rsidP="00AC6300">
            <w:pPr>
              <w:widowControl w:val="0"/>
              <w:autoSpaceDE w:val="0"/>
              <w:autoSpaceDN w:val="0"/>
              <w:adjustRightInd w:val="0"/>
              <w:jc w:val="center"/>
              <w:rPr>
                <w:rFonts w:ascii="Arial" w:hAnsi="Arial" w:cs="Arial"/>
                <w:sz w:val="20"/>
                <w:szCs w:val="20"/>
              </w:rPr>
            </w:pPr>
          </w:p>
        </w:tc>
        <w:tc>
          <w:tcPr>
            <w:tcW w:w="1139" w:type="dxa"/>
          </w:tcPr>
          <w:p w:rsidR="00AC6300" w:rsidRPr="00857555" w:rsidRDefault="00AC6300" w:rsidP="00AC6300">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AC6300" w:rsidRPr="00857555" w:rsidRDefault="00AC6300" w:rsidP="00AC6300">
            <w:pPr>
              <w:widowControl w:val="0"/>
              <w:autoSpaceDE w:val="0"/>
              <w:autoSpaceDN w:val="0"/>
              <w:adjustRightInd w:val="0"/>
              <w:jc w:val="center"/>
              <w:rPr>
                <w:rFonts w:ascii="Arial" w:hAnsi="Arial" w:cs="Arial"/>
                <w:sz w:val="20"/>
                <w:szCs w:val="20"/>
              </w:rPr>
            </w:pPr>
          </w:p>
        </w:tc>
      </w:tr>
      <w:tr w:rsidR="00AC6300" w:rsidTr="00AC6300">
        <w:trPr>
          <w:trHeight w:val="512"/>
        </w:trPr>
        <w:tc>
          <w:tcPr>
            <w:tcW w:w="9576" w:type="dxa"/>
            <w:gridSpan w:val="5"/>
          </w:tcPr>
          <w:p w:rsidR="00AC6300" w:rsidRPr="00CE2D1F" w:rsidRDefault="00AC6300" w:rsidP="00CE2D1F">
            <w:pPr>
              <w:widowControl w:val="0"/>
              <w:autoSpaceDE w:val="0"/>
              <w:autoSpaceDN w:val="0"/>
              <w:adjustRightInd w:val="0"/>
              <w:rPr>
                <w:rFonts w:ascii="Arial" w:hAnsi="Arial" w:cs="Arial"/>
                <w:b/>
                <w:sz w:val="18"/>
                <w:szCs w:val="18"/>
              </w:rPr>
            </w:pPr>
            <w:r w:rsidRPr="00CE2D1F">
              <w:rPr>
                <w:rFonts w:ascii="Arial" w:hAnsi="Arial" w:cs="Arial"/>
                <w:b/>
                <w:sz w:val="18"/>
                <w:szCs w:val="18"/>
              </w:rPr>
              <w:t xml:space="preserve">Please note: </w:t>
            </w:r>
            <w:r w:rsidRPr="00CE2D1F">
              <w:rPr>
                <w:rFonts w:ascii="Arial" w:hAnsi="Arial" w:cs="Arial"/>
                <w:sz w:val="18"/>
                <w:szCs w:val="18"/>
              </w:rPr>
              <w:t xml:space="preserve">Be clear about the maximum number of total graduate committees a faculty member should serve on before tenure. </w:t>
            </w:r>
            <w:r w:rsidR="00CE2D1F" w:rsidRPr="00CE2D1F">
              <w:rPr>
                <w:rFonts w:ascii="Arial" w:hAnsi="Arial" w:cs="Arial"/>
                <w:sz w:val="18"/>
                <w:szCs w:val="18"/>
              </w:rPr>
              <w:t>A</w:t>
            </w:r>
            <w:r w:rsidRPr="00CE2D1F">
              <w:rPr>
                <w:rFonts w:ascii="Arial" w:hAnsi="Arial" w:cs="Arial"/>
                <w:sz w:val="18"/>
                <w:szCs w:val="18"/>
              </w:rPr>
              <w:t xml:space="preserve"> number will help the faculty member </w:t>
            </w:r>
            <w:r w:rsidR="00CE2D1F" w:rsidRPr="00CE2D1F">
              <w:rPr>
                <w:rFonts w:ascii="Arial" w:hAnsi="Arial" w:cs="Arial"/>
                <w:sz w:val="18"/>
                <w:szCs w:val="18"/>
              </w:rPr>
              <w:t>know what is considered over-commitment</w:t>
            </w:r>
            <w:r w:rsidRPr="00CE2D1F">
              <w:rPr>
                <w:rFonts w:ascii="Arial" w:hAnsi="Arial" w:cs="Arial"/>
                <w:sz w:val="18"/>
                <w:szCs w:val="18"/>
              </w:rPr>
              <w:t>.</w:t>
            </w:r>
          </w:p>
        </w:tc>
      </w:tr>
    </w:tbl>
    <w:p w:rsidR="00D81271" w:rsidRDefault="00D81271" w:rsidP="00D81271">
      <w:pPr>
        <w:widowControl w:val="0"/>
        <w:autoSpaceDE w:val="0"/>
        <w:autoSpaceDN w:val="0"/>
        <w:adjustRightInd w:val="0"/>
        <w:rPr>
          <w:rFonts w:ascii="Times New Roman" w:hAnsi="Times New Roman" w:cs="Times New Roman"/>
          <w:sz w:val="22"/>
          <w:szCs w:val="22"/>
        </w:rPr>
      </w:pPr>
    </w:p>
    <w:p w:rsidR="00CE2D1F" w:rsidRDefault="00CE2D1F" w:rsidP="00CE2D1F">
      <w:pPr>
        <w:widowControl w:val="0"/>
        <w:autoSpaceDE w:val="0"/>
        <w:autoSpaceDN w:val="0"/>
        <w:adjustRightInd w:val="0"/>
        <w:rPr>
          <w:rFonts w:ascii="Times New Roman" w:hAnsi="Times New Roman" w:cs="Times New Roman"/>
          <w:sz w:val="22"/>
          <w:szCs w:val="22"/>
        </w:rPr>
      </w:pPr>
    </w:p>
    <w:tbl>
      <w:tblPr>
        <w:tblStyle w:val="TableGrid"/>
        <w:tblW w:w="0" w:type="auto"/>
        <w:tblLook w:val="04A0"/>
      </w:tblPr>
      <w:tblGrid>
        <w:gridCol w:w="5077"/>
        <w:gridCol w:w="1241"/>
        <w:gridCol w:w="1035"/>
        <w:gridCol w:w="1139"/>
        <w:gridCol w:w="1084"/>
      </w:tblGrid>
      <w:tr w:rsidR="00CE2D1F" w:rsidTr="00CE2D1F">
        <w:tc>
          <w:tcPr>
            <w:tcW w:w="5077" w:type="dxa"/>
          </w:tcPr>
          <w:p w:rsidR="00CE2D1F" w:rsidRDefault="00CE2D1F" w:rsidP="00CE2D1F">
            <w:pPr>
              <w:widowControl w:val="0"/>
              <w:autoSpaceDE w:val="0"/>
              <w:autoSpaceDN w:val="0"/>
              <w:adjustRightInd w:val="0"/>
              <w:rPr>
                <w:rFonts w:ascii="Arial" w:hAnsi="Arial" w:cs="Arial"/>
                <w:b/>
                <w:sz w:val="18"/>
                <w:szCs w:val="18"/>
              </w:rPr>
            </w:pPr>
          </w:p>
          <w:p w:rsidR="00CE2D1F" w:rsidRPr="00AC6300" w:rsidRDefault="00CE2D1F" w:rsidP="00CE2D1F">
            <w:pPr>
              <w:widowControl w:val="0"/>
              <w:autoSpaceDE w:val="0"/>
              <w:autoSpaceDN w:val="0"/>
              <w:adjustRightInd w:val="0"/>
              <w:rPr>
                <w:rFonts w:ascii="Arial" w:hAnsi="Arial" w:cs="Arial"/>
                <w:sz w:val="20"/>
                <w:szCs w:val="20"/>
              </w:rPr>
            </w:pPr>
            <w:r w:rsidRPr="00AC6300">
              <w:rPr>
                <w:rFonts w:ascii="Arial" w:hAnsi="Arial" w:cs="Arial"/>
                <w:b/>
                <w:sz w:val="20"/>
                <w:szCs w:val="20"/>
              </w:rPr>
              <w:t xml:space="preserve">Type of service activity: </w:t>
            </w:r>
            <w:r>
              <w:rPr>
                <w:rFonts w:ascii="Arial" w:hAnsi="Arial" w:cs="Arial"/>
                <w:sz w:val="20"/>
                <w:szCs w:val="20"/>
              </w:rPr>
              <w:t>Post tenure</w:t>
            </w:r>
          </w:p>
        </w:tc>
        <w:tc>
          <w:tcPr>
            <w:tcW w:w="1241" w:type="dxa"/>
          </w:tcPr>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35" w:type="dxa"/>
          </w:tcPr>
          <w:p w:rsidR="00CE2D1F" w:rsidRDefault="00CE2D1F" w:rsidP="00CE2D1F">
            <w:pPr>
              <w:widowControl w:val="0"/>
              <w:autoSpaceDE w:val="0"/>
              <w:autoSpaceDN w:val="0"/>
              <w:adjustRightInd w:val="0"/>
              <w:jc w:val="center"/>
              <w:rPr>
                <w:rFonts w:ascii="Arial" w:hAnsi="Arial" w:cs="Arial"/>
                <w:b/>
                <w:sz w:val="18"/>
                <w:szCs w:val="18"/>
              </w:rPr>
            </w:pPr>
          </w:p>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Minimum</w:t>
            </w:r>
          </w:p>
        </w:tc>
        <w:tc>
          <w:tcPr>
            <w:tcW w:w="1139" w:type="dxa"/>
          </w:tcPr>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suggested</w:t>
            </w:r>
          </w:p>
        </w:tc>
        <w:tc>
          <w:tcPr>
            <w:tcW w:w="1084" w:type="dxa"/>
          </w:tcPr>
          <w:p w:rsidR="00CE2D1F" w:rsidRDefault="00CE2D1F" w:rsidP="00CE2D1F">
            <w:pPr>
              <w:widowControl w:val="0"/>
              <w:autoSpaceDE w:val="0"/>
              <w:autoSpaceDN w:val="0"/>
              <w:adjustRightInd w:val="0"/>
              <w:jc w:val="center"/>
              <w:rPr>
                <w:rFonts w:ascii="Arial" w:hAnsi="Arial" w:cs="Arial"/>
                <w:b/>
                <w:sz w:val="18"/>
                <w:szCs w:val="18"/>
              </w:rPr>
            </w:pPr>
          </w:p>
          <w:p w:rsidR="00CE2D1F" w:rsidRPr="00D81271" w:rsidRDefault="00CE2D1F" w:rsidP="00CE2D1F">
            <w:pPr>
              <w:widowControl w:val="0"/>
              <w:autoSpaceDE w:val="0"/>
              <w:autoSpaceDN w:val="0"/>
              <w:adjustRightInd w:val="0"/>
              <w:jc w:val="center"/>
              <w:rPr>
                <w:rFonts w:ascii="Arial" w:hAnsi="Arial" w:cs="Arial"/>
                <w:b/>
                <w:sz w:val="18"/>
                <w:szCs w:val="18"/>
              </w:rPr>
            </w:pPr>
            <w:r w:rsidRPr="00D81271">
              <w:rPr>
                <w:rFonts w:ascii="Arial" w:hAnsi="Arial" w:cs="Arial"/>
                <w:b/>
                <w:sz w:val="18"/>
                <w:szCs w:val="18"/>
              </w:rPr>
              <w:t>Maximum</w:t>
            </w: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Department Committee</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Pr>
                <w:rFonts w:ascii="Arial" w:hAnsi="Arial" w:cs="Arial"/>
                <w:sz w:val="20"/>
                <w:szCs w:val="20"/>
              </w:rPr>
              <w:t>College Committee</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University Committee</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Community service obligation: board membership, organization leadership</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2</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Community or campus presentations</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5</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Pr>
                <w:rFonts w:ascii="Arial" w:hAnsi="Arial" w:cs="Arial"/>
                <w:sz w:val="20"/>
                <w:szCs w:val="20"/>
              </w:rPr>
              <w:t>Professional organization leadership</w:t>
            </w:r>
            <w:r w:rsidR="00104D44">
              <w:rPr>
                <w:rFonts w:ascii="Arial" w:hAnsi="Arial" w:cs="Arial"/>
                <w:sz w:val="20"/>
                <w:szCs w:val="20"/>
              </w:rPr>
              <w:t>, editorial boards, peer reviewer</w:t>
            </w:r>
          </w:p>
        </w:tc>
        <w:tc>
          <w:tcPr>
            <w:tcW w:w="1241" w:type="dxa"/>
          </w:tcPr>
          <w:p w:rsidR="00CE2D1F"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rPr>
          <w:trHeight w:val="422"/>
        </w:trPr>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Graduate thesis directing (new commitments per year) master’s level</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sidRPr="00857555">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rPr>
          <w:trHeight w:val="422"/>
        </w:trPr>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master’s level</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Graduate dissertation directing (new commitments per year) doctoral</w:t>
            </w:r>
          </w:p>
        </w:tc>
        <w:tc>
          <w:tcPr>
            <w:tcW w:w="1241"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c>
          <w:tcPr>
            <w:tcW w:w="5077" w:type="dxa"/>
          </w:tcPr>
          <w:p w:rsidR="00CE2D1F" w:rsidRPr="00857555" w:rsidRDefault="00CE2D1F" w:rsidP="00CE2D1F">
            <w:pPr>
              <w:widowControl w:val="0"/>
              <w:autoSpaceDE w:val="0"/>
              <w:autoSpaceDN w:val="0"/>
              <w:adjustRightInd w:val="0"/>
              <w:rPr>
                <w:rFonts w:ascii="Arial" w:hAnsi="Arial" w:cs="Arial"/>
                <w:sz w:val="20"/>
                <w:szCs w:val="20"/>
              </w:rPr>
            </w:pPr>
            <w:r w:rsidRPr="00857555">
              <w:rPr>
                <w:rFonts w:ascii="Arial" w:hAnsi="Arial" w:cs="Arial"/>
                <w:sz w:val="20"/>
                <w:szCs w:val="20"/>
              </w:rPr>
              <w:t>Graduate committee membership (new commitments per year, including graduate school appointee) doctoral</w:t>
            </w:r>
          </w:p>
        </w:tc>
        <w:tc>
          <w:tcPr>
            <w:tcW w:w="1241" w:type="dxa"/>
          </w:tcPr>
          <w:p w:rsidR="00CE2D1F" w:rsidRPr="00857555" w:rsidRDefault="00104D44" w:rsidP="00CE2D1F">
            <w:pPr>
              <w:widowControl w:val="0"/>
              <w:autoSpaceDE w:val="0"/>
              <w:autoSpaceDN w:val="0"/>
              <w:adjustRightInd w:val="0"/>
              <w:jc w:val="center"/>
              <w:rPr>
                <w:rFonts w:ascii="Arial" w:hAnsi="Arial" w:cs="Arial"/>
                <w:sz w:val="20"/>
                <w:szCs w:val="20"/>
              </w:rPr>
            </w:pPr>
            <w:r>
              <w:rPr>
                <w:rFonts w:ascii="Arial" w:hAnsi="Arial" w:cs="Arial"/>
                <w:sz w:val="20"/>
                <w:szCs w:val="20"/>
              </w:rPr>
              <w:t>1</w:t>
            </w:r>
          </w:p>
        </w:tc>
        <w:tc>
          <w:tcPr>
            <w:tcW w:w="1035" w:type="dxa"/>
          </w:tcPr>
          <w:p w:rsidR="00CE2D1F" w:rsidRPr="00857555" w:rsidRDefault="00CE2D1F" w:rsidP="00CE2D1F">
            <w:pPr>
              <w:widowControl w:val="0"/>
              <w:autoSpaceDE w:val="0"/>
              <w:autoSpaceDN w:val="0"/>
              <w:adjustRightInd w:val="0"/>
              <w:jc w:val="center"/>
              <w:rPr>
                <w:rFonts w:ascii="Arial" w:hAnsi="Arial" w:cs="Arial"/>
                <w:sz w:val="20"/>
                <w:szCs w:val="20"/>
              </w:rPr>
            </w:pPr>
          </w:p>
        </w:tc>
        <w:tc>
          <w:tcPr>
            <w:tcW w:w="1139" w:type="dxa"/>
          </w:tcPr>
          <w:p w:rsidR="00CE2D1F" w:rsidRPr="00857555" w:rsidRDefault="00CE2D1F" w:rsidP="00CE2D1F">
            <w:pPr>
              <w:widowControl w:val="0"/>
              <w:autoSpaceDE w:val="0"/>
              <w:autoSpaceDN w:val="0"/>
              <w:adjustRightInd w:val="0"/>
              <w:jc w:val="center"/>
              <w:rPr>
                <w:rFonts w:ascii="Arial" w:hAnsi="Arial" w:cs="Arial"/>
                <w:sz w:val="20"/>
                <w:szCs w:val="20"/>
              </w:rPr>
            </w:pPr>
            <w:r>
              <w:rPr>
                <w:rFonts w:ascii="Arial" w:hAnsi="Arial" w:cs="Arial"/>
                <w:sz w:val="20"/>
                <w:szCs w:val="20"/>
              </w:rPr>
              <w:t>3</w:t>
            </w:r>
          </w:p>
        </w:tc>
        <w:tc>
          <w:tcPr>
            <w:tcW w:w="1084" w:type="dxa"/>
          </w:tcPr>
          <w:p w:rsidR="00CE2D1F" w:rsidRPr="00857555" w:rsidRDefault="00CE2D1F" w:rsidP="00CE2D1F">
            <w:pPr>
              <w:widowControl w:val="0"/>
              <w:autoSpaceDE w:val="0"/>
              <w:autoSpaceDN w:val="0"/>
              <w:adjustRightInd w:val="0"/>
              <w:jc w:val="center"/>
              <w:rPr>
                <w:rFonts w:ascii="Arial" w:hAnsi="Arial" w:cs="Arial"/>
                <w:sz w:val="20"/>
                <w:szCs w:val="20"/>
              </w:rPr>
            </w:pPr>
          </w:p>
        </w:tc>
      </w:tr>
      <w:tr w:rsidR="00CE2D1F" w:rsidTr="00CE2D1F">
        <w:trPr>
          <w:trHeight w:val="512"/>
        </w:trPr>
        <w:tc>
          <w:tcPr>
            <w:tcW w:w="9576" w:type="dxa"/>
            <w:gridSpan w:val="5"/>
          </w:tcPr>
          <w:p w:rsidR="00CE2D1F" w:rsidRPr="00CE2D1F" w:rsidRDefault="00CE2D1F" w:rsidP="00CE2D1F">
            <w:pPr>
              <w:widowControl w:val="0"/>
              <w:autoSpaceDE w:val="0"/>
              <w:autoSpaceDN w:val="0"/>
              <w:adjustRightInd w:val="0"/>
              <w:rPr>
                <w:rFonts w:ascii="Arial" w:hAnsi="Arial" w:cs="Arial"/>
                <w:sz w:val="18"/>
                <w:szCs w:val="18"/>
              </w:rPr>
            </w:pPr>
            <w:r w:rsidRPr="00CE2D1F">
              <w:rPr>
                <w:rFonts w:ascii="Arial" w:hAnsi="Arial" w:cs="Arial"/>
                <w:sz w:val="18"/>
                <w:szCs w:val="18"/>
              </w:rPr>
              <w:t>The requirements of promotion to full in most departments require the development of a national reputation.</w:t>
            </w:r>
            <w:r>
              <w:rPr>
                <w:rFonts w:ascii="Arial" w:hAnsi="Arial" w:cs="Arial"/>
                <w:sz w:val="18"/>
                <w:szCs w:val="18"/>
              </w:rPr>
              <w:t xml:space="preserve"> Some of this involves service to the profession, in addition to a research profile. It is very important that departments commit to promoting those they have tenured, and not sacrificing their associate professors to good of tenuring assistants. </w:t>
            </w:r>
          </w:p>
        </w:tc>
      </w:tr>
    </w:tbl>
    <w:p w:rsidR="00CE2D1F" w:rsidRDefault="00CE2D1F" w:rsidP="00CE2D1F">
      <w:pPr>
        <w:widowControl w:val="0"/>
        <w:autoSpaceDE w:val="0"/>
        <w:autoSpaceDN w:val="0"/>
        <w:adjustRightInd w:val="0"/>
        <w:rPr>
          <w:rFonts w:ascii="Times New Roman" w:hAnsi="Times New Roman" w:cs="Times New Roman"/>
          <w:sz w:val="22"/>
          <w:szCs w:val="22"/>
        </w:rPr>
      </w:pPr>
    </w:p>
    <w:p w:rsidR="002C7233" w:rsidRDefault="00104D44" w:rsidP="00D81271">
      <w:pPr>
        <w:rPr>
          <w:rFonts w:ascii="Arial" w:hAnsi="Arial" w:cs="Arial"/>
          <w:sz w:val="22"/>
          <w:szCs w:val="22"/>
        </w:rPr>
      </w:pPr>
      <w:r>
        <w:rPr>
          <w:rFonts w:ascii="Arial" w:hAnsi="Arial" w:cs="Arial"/>
          <w:sz w:val="22"/>
          <w:szCs w:val="22"/>
        </w:rPr>
        <w:t xml:space="preserve">Full professors need to continue to meet minimum service obligations to ensure that those not yet tenured and promoted are not forced to do more that their appropriate share of service. </w:t>
      </w:r>
    </w:p>
    <w:p w:rsidR="00DD12EE" w:rsidRDefault="00DD12EE" w:rsidP="00D81271">
      <w:pPr>
        <w:rPr>
          <w:rFonts w:ascii="Arial" w:hAnsi="Arial" w:cs="Arial"/>
          <w:sz w:val="22"/>
          <w:szCs w:val="22"/>
        </w:rPr>
      </w:pPr>
    </w:p>
    <w:p w:rsidR="00DD12EE" w:rsidRPr="00DD12EE" w:rsidRDefault="00DD12EE" w:rsidP="00DD12EE">
      <w:pPr>
        <w:pBdr>
          <w:bottom w:val="single" w:sz="4" w:space="1" w:color="auto"/>
        </w:pBdr>
        <w:rPr>
          <w:rFonts w:ascii="Arial" w:hAnsi="Arial" w:cs="Arial"/>
          <w:b/>
          <w:sz w:val="22"/>
          <w:szCs w:val="22"/>
        </w:rPr>
      </w:pPr>
      <w:r w:rsidRPr="00DD12EE">
        <w:rPr>
          <w:rFonts w:ascii="Arial" w:hAnsi="Arial" w:cs="Arial"/>
          <w:b/>
          <w:sz w:val="22"/>
          <w:szCs w:val="22"/>
        </w:rPr>
        <w:t>Resources:</w:t>
      </w:r>
    </w:p>
    <w:p w:rsidR="00DD12EE" w:rsidRPr="00EF6716" w:rsidRDefault="00DD12EE" w:rsidP="00DD12EE">
      <w:pPr>
        <w:widowControl w:val="0"/>
        <w:autoSpaceDE w:val="0"/>
        <w:autoSpaceDN w:val="0"/>
        <w:adjustRightInd w:val="0"/>
        <w:spacing w:before="160" w:after="60" w:line="280" w:lineRule="atLeast"/>
        <w:ind w:left="720" w:hanging="720"/>
        <w:rPr>
          <w:rFonts w:ascii="Arial" w:hAnsi="Arial"/>
          <w:sz w:val="20"/>
        </w:rPr>
      </w:pPr>
      <w:r w:rsidRPr="00EF6716">
        <w:rPr>
          <w:rFonts w:ascii="Arial" w:hAnsi="Arial"/>
          <w:sz w:val="20"/>
          <w:szCs w:val="22"/>
        </w:rPr>
        <w:t xml:space="preserve">Park, Shelley M. “Research, Teaching, and Service: Why Shouldn't Women's Work Count?” </w:t>
      </w:r>
      <w:r w:rsidRPr="00EF6716">
        <w:rPr>
          <w:rFonts w:ascii="Arial" w:hAnsi="Arial"/>
          <w:i/>
          <w:sz w:val="20"/>
          <w:szCs w:val="22"/>
        </w:rPr>
        <w:t>The Journal of Higher Education</w:t>
      </w:r>
      <w:r w:rsidRPr="00EF6716">
        <w:rPr>
          <w:rFonts w:ascii="Arial" w:hAnsi="Arial"/>
          <w:sz w:val="20"/>
          <w:szCs w:val="22"/>
        </w:rPr>
        <w:t xml:space="preserve"> 67.1 (1996): 46-84.  JSTOR</w:t>
      </w:r>
    </w:p>
    <w:p w:rsidR="00DD12EE" w:rsidRPr="00104D44" w:rsidRDefault="00DD12EE" w:rsidP="00D81271">
      <w:pPr>
        <w:rPr>
          <w:rFonts w:ascii="Arial" w:hAnsi="Arial" w:cs="Arial"/>
          <w:sz w:val="22"/>
          <w:szCs w:val="22"/>
        </w:rPr>
      </w:pPr>
      <w:bookmarkStart w:id="0" w:name="_GoBack"/>
      <w:bookmarkEnd w:id="0"/>
    </w:p>
    <w:sectPr w:rsidR="00DD12EE" w:rsidRPr="00104D44" w:rsidSect="00D81271">
      <w:headerReference w:type="default" r:id="rId6"/>
      <w:pgSz w:w="12240" w:h="15840"/>
      <w:pgMar w:top="108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082" w:rsidRDefault="00D57082" w:rsidP="00D81271">
      <w:r>
        <w:separator/>
      </w:r>
    </w:p>
  </w:endnote>
  <w:endnote w:type="continuationSeparator" w:id="0">
    <w:p w:rsidR="00D57082" w:rsidRDefault="00D57082" w:rsidP="00D8127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082" w:rsidRDefault="00D57082" w:rsidP="00D81271">
      <w:r>
        <w:separator/>
      </w:r>
    </w:p>
  </w:footnote>
  <w:footnote w:type="continuationSeparator" w:id="0">
    <w:p w:rsidR="00D57082" w:rsidRDefault="00D57082" w:rsidP="00D81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2EE" w:rsidRDefault="00DD12EE" w:rsidP="00D81271">
    <w:pPr>
      <w:pStyle w:val="Header"/>
      <w:pBdr>
        <w:bottom w:val="single" w:sz="4" w:space="1" w:color="auto"/>
      </w:pBdr>
      <w:tabs>
        <w:tab w:val="clear" w:pos="8640"/>
        <w:tab w:val="right" w:pos="9360"/>
      </w:tabs>
    </w:pPr>
    <w:r w:rsidRPr="00116124">
      <w:rPr>
        <w:noProof/>
        <w:lang w:eastAsia="en-US"/>
      </w:rPr>
      <w:drawing>
        <wp:inline distT="0" distB="0" distL="0" distR="0">
          <wp:extent cx="1858889" cy="345440"/>
          <wp:effectExtent l="2540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
                  <a:stretch>
                    <a:fillRect/>
                  </a:stretch>
                </pic:blipFill>
                <pic:spPr>
                  <a:xfrm>
                    <a:off x="0" y="0"/>
                    <a:ext cx="1888765" cy="350992"/>
                  </a:xfrm>
                  <a:prstGeom prst="rect">
                    <a:avLst/>
                  </a:prstGeom>
                </pic:spPr>
              </pic:pic>
            </a:graphicData>
          </a:graphic>
        </wp:inline>
      </w:drawing>
    </w:r>
    <w:r>
      <w:tab/>
    </w:r>
    <w:r>
      <w:tab/>
    </w:r>
    <w:r w:rsidR="007F1D75" w:rsidRPr="00B54682">
      <w:rPr>
        <w:rStyle w:val="PageNumber"/>
        <w:b/>
        <w:sz w:val="28"/>
      </w:rPr>
      <w:fldChar w:fldCharType="begin"/>
    </w:r>
    <w:r w:rsidRPr="00B54682">
      <w:rPr>
        <w:rStyle w:val="PageNumber"/>
        <w:b/>
        <w:sz w:val="28"/>
      </w:rPr>
      <w:instrText xml:space="preserve"> PAGE </w:instrText>
    </w:r>
    <w:r w:rsidR="007F1D75" w:rsidRPr="00B54682">
      <w:rPr>
        <w:rStyle w:val="PageNumber"/>
        <w:b/>
        <w:sz w:val="28"/>
      </w:rPr>
      <w:fldChar w:fldCharType="separate"/>
    </w:r>
    <w:r w:rsidR="005E7FBE">
      <w:rPr>
        <w:rStyle w:val="PageNumber"/>
        <w:b/>
        <w:noProof/>
        <w:sz w:val="28"/>
      </w:rPr>
      <w:t>1</w:t>
    </w:r>
    <w:r w:rsidR="007F1D75" w:rsidRPr="00B54682">
      <w:rPr>
        <w:rStyle w:val="PageNumber"/>
        <w:b/>
        <w:sz w:val="28"/>
      </w:rPr>
      <w:fldChar w:fldCharType="end"/>
    </w:r>
  </w:p>
  <w:p w:rsidR="00DD12EE" w:rsidRDefault="00DD12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D81271"/>
    <w:rsid w:val="00104D44"/>
    <w:rsid w:val="001B3B04"/>
    <w:rsid w:val="002C7233"/>
    <w:rsid w:val="005E7FBE"/>
    <w:rsid w:val="007F1D75"/>
    <w:rsid w:val="00857555"/>
    <w:rsid w:val="00A1239B"/>
    <w:rsid w:val="00AC6300"/>
    <w:rsid w:val="00CC682F"/>
    <w:rsid w:val="00CE2D1F"/>
    <w:rsid w:val="00D57082"/>
    <w:rsid w:val="00D81271"/>
    <w:rsid w:val="00DD12E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271"/>
    <w:pPr>
      <w:tabs>
        <w:tab w:val="center" w:pos="4320"/>
        <w:tab w:val="right" w:pos="8640"/>
      </w:tabs>
    </w:pPr>
  </w:style>
  <w:style w:type="character" w:customStyle="1" w:styleId="HeaderChar">
    <w:name w:val="Header Char"/>
    <w:basedOn w:val="DefaultParagraphFont"/>
    <w:link w:val="Header"/>
    <w:uiPriority w:val="99"/>
    <w:rsid w:val="00D81271"/>
    <w:rPr>
      <w:sz w:val="24"/>
      <w:szCs w:val="24"/>
    </w:rPr>
  </w:style>
  <w:style w:type="paragraph" w:styleId="Footer">
    <w:name w:val="footer"/>
    <w:basedOn w:val="Normal"/>
    <w:link w:val="FooterChar"/>
    <w:uiPriority w:val="99"/>
    <w:unhideWhenUsed/>
    <w:rsid w:val="00D81271"/>
    <w:pPr>
      <w:tabs>
        <w:tab w:val="center" w:pos="4320"/>
        <w:tab w:val="right" w:pos="8640"/>
      </w:tabs>
    </w:pPr>
  </w:style>
  <w:style w:type="character" w:customStyle="1" w:styleId="FooterChar">
    <w:name w:val="Footer Char"/>
    <w:basedOn w:val="DefaultParagraphFont"/>
    <w:link w:val="Footer"/>
    <w:uiPriority w:val="99"/>
    <w:rsid w:val="00D81271"/>
    <w:rPr>
      <w:sz w:val="24"/>
      <w:szCs w:val="24"/>
    </w:rPr>
  </w:style>
  <w:style w:type="character" w:styleId="PageNumber">
    <w:name w:val="page number"/>
    <w:basedOn w:val="DefaultParagraphFont"/>
    <w:uiPriority w:val="99"/>
    <w:semiHidden/>
    <w:unhideWhenUsed/>
    <w:rsid w:val="00D81271"/>
  </w:style>
  <w:style w:type="paragraph" w:styleId="BalloonText">
    <w:name w:val="Balloon Text"/>
    <w:basedOn w:val="Normal"/>
    <w:link w:val="BalloonTextChar"/>
    <w:uiPriority w:val="99"/>
    <w:semiHidden/>
    <w:unhideWhenUsed/>
    <w:rsid w:val="00D812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271"/>
    <w:rPr>
      <w:rFonts w:ascii="Lucida Grande" w:hAnsi="Lucida Grande" w:cs="Lucida Grande"/>
      <w:sz w:val="18"/>
      <w:szCs w:val="18"/>
    </w:rPr>
  </w:style>
  <w:style w:type="table" w:styleId="TableGrid">
    <w:name w:val="Table Grid"/>
    <w:basedOn w:val="TableNormal"/>
    <w:uiPriority w:val="59"/>
    <w:rsid w:val="00D81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271"/>
    <w:pPr>
      <w:tabs>
        <w:tab w:val="center" w:pos="4320"/>
        <w:tab w:val="right" w:pos="8640"/>
      </w:tabs>
    </w:pPr>
  </w:style>
  <w:style w:type="character" w:customStyle="1" w:styleId="HeaderChar">
    <w:name w:val="Header Char"/>
    <w:basedOn w:val="DefaultParagraphFont"/>
    <w:link w:val="Header"/>
    <w:uiPriority w:val="99"/>
    <w:rsid w:val="00D81271"/>
    <w:rPr>
      <w:sz w:val="24"/>
      <w:szCs w:val="24"/>
    </w:rPr>
  </w:style>
  <w:style w:type="paragraph" w:styleId="Footer">
    <w:name w:val="footer"/>
    <w:basedOn w:val="Normal"/>
    <w:link w:val="FooterChar"/>
    <w:uiPriority w:val="99"/>
    <w:unhideWhenUsed/>
    <w:rsid w:val="00D81271"/>
    <w:pPr>
      <w:tabs>
        <w:tab w:val="center" w:pos="4320"/>
        <w:tab w:val="right" w:pos="8640"/>
      </w:tabs>
    </w:pPr>
  </w:style>
  <w:style w:type="character" w:customStyle="1" w:styleId="FooterChar">
    <w:name w:val="Footer Char"/>
    <w:basedOn w:val="DefaultParagraphFont"/>
    <w:link w:val="Footer"/>
    <w:uiPriority w:val="99"/>
    <w:rsid w:val="00D81271"/>
    <w:rPr>
      <w:sz w:val="24"/>
      <w:szCs w:val="24"/>
    </w:rPr>
  </w:style>
  <w:style w:type="character" w:styleId="PageNumber">
    <w:name w:val="page number"/>
    <w:basedOn w:val="DefaultParagraphFont"/>
    <w:uiPriority w:val="99"/>
    <w:semiHidden/>
    <w:unhideWhenUsed/>
    <w:rsid w:val="00D81271"/>
  </w:style>
  <w:style w:type="paragraph" w:styleId="BalloonText">
    <w:name w:val="Balloon Text"/>
    <w:basedOn w:val="Normal"/>
    <w:link w:val="BalloonTextChar"/>
    <w:uiPriority w:val="99"/>
    <w:semiHidden/>
    <w:unhideWhenUsed/>
    <w:rsid w:val="00D812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271"/>
    <w:rPr>
      <w:rFonts w:ascii="Lucida Grande" w:hAnsi="Lucida Grande" w:cs="Lucida Grande"/>
      <w:sz w:val="18"/>
      <w:szCs w:val="18"/>
    </w:rPr>
  </w:style>
  <w:style w:type="table" w:styleId="TableGrid">
    <w:name w:val="Table Grid"/>
    <w:basedOn w:val="TableNormal"/>
    <w:uiPriority w:val="59"/>
    <w:rsid w:val="00D81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0</DocSecurity>
  <Lines>31</Lines>
  <Paragraphs>8</Paragraphs>
  <ScaleCrop>false</ScaleCrop>
  <Company>Department of English</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Birmingham</dc:creator>
  <cp:lastModifiedBy>Erickson-Dockter</cp:lastModifiedBy>
  <cp:revision>2</cp:revision>
  <dcterms:created xsi:type="dcterms:W3CDTF">2013-05-27T22:45:00Z</dcterms:created>
  <dcterms:modified xsi:type="dcterms:W3CDTF">2013-05-27T22:45:00Z</dcterms:modified>
</cp:coreProperties>
</file>