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427FD" w14:textId="5F63D329" w:rsidR="001B6ABC" w:rsidRDefault="000A7FD2" w:rsidP="00E90506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E90506">
        <w:rPr>
          <w:sz w:val="32"/>
          <w:szCs w:val="32"/>
        </w:rPr>
        <w:t xml:space="preserve">Course </w:t>
      </w:r>
      <w:r w:rsidR="007E599C">
        <w:rPr>
          <w:sz w:val="32"/>
          <w:szCs w:val="32"/>
        </w:rPr>
        <w:t>Submission</w:t>
      </w:r>
      <w:r w:rsidRPr="00E90506">
        <w:rPr>
          <w:sz w:val="32"/>
          <w:szCs w:val="32"/>
        </w:rPr>
        <w:t xml:space="preserve"> Checklist</w:t>
      </w:r>
    </w:p>
    <w:p w14:paraId="610B3E64" w14:textId="1B9087F8" w:rsidR="007E599C" w:rsidRPr="007E599C" w:rsidRDefault="007E599C" w:rsidP="00E90506">
      <w:pPr>
        <w:spacing w:after="0"/>
        <w:jc w:val="center"/>
      </w:pPr>
      <w:r>
        <w:t>Updated in Fall 2023</w:t>
      </w:r>
    </w:p>
    <w:p w14:paraId="42DF0561" w14:textId="77777777" w:rsidR="000A7FD2" w:rsidRDefault="000A7FD2" w:rsidP="000A7FD2">
      <w:pPr>
        <w:spacing w:after="0"/>
      </w:pPr>
    </w:p>
    <w:p w14:paraId="01482110" w14:textId="7CA0231A" w:rsidR="00427CCC" w:rsidRDefault="00A2027A" w:rsidP="000A7FD2">
      <w:pPr>
        <w:spacing w:after="0"/>
      </w:pPr>
      <w:r>
        <w:t>NDSU College Committees should use this checklist before approving proposals for new or revised courses.</w:t>
      </w:r>
    </w:p>
    <w:p w14:paraId="6572AC9A" w14:textId="47AF35DF" w:rsidR="000A7FD2" w:rsidRDefault="007B1AD0" w:rsidP="000A7FD2">
      <w:pPr>
        <w:spacing w:after="0"/>
      </w:pPr>
      <w:r>
        <w:t>The information on this document refer</w:t>
      </w:r>
      <w:r w:rsidR="00F7414D">
        <w:t>s</w:t>
      </w:r>
      <w:r w:rsidR="00504BB3">
        <w:t xml:space="preserve"> to the UCC section</w:t>
      </w:r>
      <w:r>
        <w:t xml:space="preserve"> in the Faculty Senate section of the NDSU website</w:t>
      </w:r>
      <w:r w:rsidR="00504BB3">
        <w:t>, found here</w:t>
      </w:r>
      <w:r>
        <w:t xml:space="preserve">: </w:t>
      </w:r>
      <w:hyperlink r:id="rId5" w:history="1">
        <w:r>
          <w:rPr>
            <w:rStyle w:val="Hyperlink"/>
          </w:rPr>
          <w:t>University Curriculum Committee | Faculty Senate | NDSU</w:t>
        </w:r>
      </w:hyperlink>
      <w:r w:rsidR="00E90506">
        <w:t xml:space="preserve">. It also refers to the official university syllabus policy 331.1, found here: </w:t>
      </w:r>
      <w:hyperlink r:id="rId6" w:history="1">
        <w:r w:rsidR="00E90506">
          <w:rPr>
            <w:rStyle w:val="Hyperlink"/>
          </w:rPr>
          <w:t>331.1 (ndsu.edu)</w:t>
        </w:r>
      </w:hyperlink>
      <w:r w:rsidR="00E90506">
        <w:t xml:space="preserve">. </w:t>
      </w:r>
      <w:r w:rsidR="000A7FD2">
        <w:t xml:space="preserve">The following </w:t>
      </w:r>
      <w:r w:rsidR="00F7414D">
        <w:t xml:space="preserve">checklist is a reminder list only. </w:t>
      </w:r>
    </w:p>
    <w:p w14:paraId="7B548295" w14:textId="77777777" w:rsidR="000A7FD2" w:rsidRDefault="000A7FD2" w:rsidP="000A7FD2">
      <w:pPr>
        <w:spacing w:after="0"/>
      </w:pPr>
    </w:p>
    <w:p w14:paraId="40FFF7EF" w14:textId="77777777" w:rsidR="00E90506" w:rsidRDefault="004F549A" w:rsidP="00D3262B">
      <w:pPr>
        <w:pStyle w:val="ListParagraph"/>
        <w:numPr>
          <w:ilvl w:val="0"/>
          <w:numId w:val="1"/>
        </w:numPr>
        <w:spacing w:after="0"/>
      </w:pPr>
      <w:r>
        <w:t xml:space="preserve">All </w:t>
      </w:r>
      <w:r w:rsidR="00F51A34">
        <w:t xml:space="preserve">changes and new course </w:t>
      </w:r>
      <w:r>
        <w:t>submissions to Course Leaf need to be accompanied by a syllabus for the course</w:t>
      </w:r>
      <w:r w:rsidR="00F7414D">
        <w:t xml:space="preserve">. </w:t>
      </w:r>
    </w:p>
    <w:p w14:paraId="46A14CCE" w14:textId="77777777" w:rsidR="00E90506" w:rsidRDefault="00F7414D" w:rsidP="00E90506">
      <w:pPr>
        <w:pStyle w:val="ListParagraph"/>
        <w:numPr>
          <w:ilvl w:val="1"/>
          <w:numId w:val="1"/>
        </w:numPr>
        <w:spacing w:after="0"/>
      </w:pPr>
      <w:r>
        <w:t xml:space="preserve">A syllabus is required even if there is no change to the syllabus from the previous version. This helps </w:t>
      </w:r>
      <w:r w:rsidR="000C779F">
        <w:t>ensure</w:t>
      </w:r>
      <w:r>
        <w:t xml:space="preserve"> syllabi are updated to include any new or changed protocols since the previous approval.</w:t>
      </w:r>
      <w:r w:rsidR="000C779F">
        <w:t xml:space="preserve"> </w:t>
      </w:r>
    </w:p>
    <w:p w14:paraId="45D8793E" w14:textId="4F614C31" w:rsidR="00E90506" w:rsidRDefault="00E90506" w:rsidP="00E90506">
      <w:pPr>
        <w:pStyle w:val="ListParagraph"/>
        <w:numPr>
          <w:ilvl w:val="1"/>
          <w:numId w:val="1"/>
        </w:numPr>
        <w:spacing w:after="0"/>
      </w:pPr>
      <w:r>
        <w:t xml:space="preserve">The syllabus should be a prospective syllabus and include any changes being considered. For example, if a submission includes a change to the </w:t>
      </w:r>
      <w:r w:rsidR="00FF0C57">
        <w:t>pre-</w:t>
      </w:r>
      <w:r>
        <w:t xml:space="preserve">requisites for the course, the attached syllabus should reflect the new </w:t>
      </w:r>
      <w:r w:rsidR="00FF0C57">
        <w:t>pre-</w:t>
      </w:r>
      <w:r>
        <w:t>requisites.</w:t>
      </w:r>
    </w:p>
    <w:p w14:paraId="3FAD6680" w14:textId="07B5899B" w:rsidR="00F7414D" w:rsidRDefault="00F7414D" w:rsidP="00D3262B">
      <w:pPr>
        <w:pStyle w:val="ListParagraph"/>
        <w:numPr>
          <w:ilvl w:val="0"/>
          <w:numId w:val="1"/>
        </w:numPr>
        <w:spacing w:after="0"/>
      </w:pPr>
      <w:r>
        <w:t>Check to be sure the syllabus contains the following information (subject to change, current list can be found at link above</w:t>
      </w:r>
      <w:r w:rsidR="00574306">
        <w:t>, the * denotes syllabus items for which there is specific language in the policy.</w:t>
      </w:r>
      <w:r w:rsidR="005307E4">
        <w:t>)</w:t>
      </w:r>
    </w:p>
    <w:p w14:paraId="7A4206AD" w14:textId="77777777" w:rsidR="00F7414D" w:rsidRDefault="005307E4" w:rsidP="00F7414D">
      <w:pPr>
        <w:pStyle w:val="ListParagraph"/>
        <w:numPr>
          <w:ilvl w:val="1"/>
          <w:numId w:val="1"/>
        </w:numPr>
        <w:spacing w:after="0"/>
      </w:pPr>
      <w:r>
        <w:t>Course prefix, catalog number, credits, and title</w:t>
      </w:r>
    </w:p>
    <w:p w14:paraId="5207144E" w14:textId="77777777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Instructor and contact information</w:t>
      </w:r>
    </w:p>
    <w:p w14:paraId="74A2DF1B" w14:textId="77777777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Bulletin description</w:t>
      </w:r>
    </w:p>
    <w:p w14:paraId="275608CB" w14:textId="77777777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Course objectives</w:t>
      </w:r>
    </w:p>
    <w:p w14:paraId="2A9C227F" w14:textId="77777777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Evaluation procedures and criteria</w:t>
      </w:r>
    </w:p>
    <w:p w14:paraId="42E4384E" w14:textId="04ADE056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Attendance policy</w:t>
      </w:r>
      <w:r w:rsidR="00011FB8">
        <w:t xml:space="preserve"> (if attendance</w:t>
      </w:r>
      <w:r w:rsidR="00FF0C57">
        <w:t xml:space="preserve"> is a component of course grade)</w:t>
      </w:r>
    </w:p>
    <w:p w14:paraId="4850DDD4" w14:textId="77777777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Course schedule/outline/calendar of events</w:t>
      </w:r>
    </w:p>
    <w:p w14:paraId="615AF185" w14:textId="77777777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Student resources</w:t>
      </w:r>
    </w:p>
    <w:p w14:paraId="78F05D8B" w14:textId="772E3183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Americans with Disabilities Act statement</w:t>
      </w:r>
      <w:r w:rsidR="00351487">
        <w:t xml:space="preserve"> *</w:t>
      </w:r>
    </w:p>
    <w:p w14:paraId="3841A2B8" w14:textId="0BC1A376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FERPA Statement</w:t>
      </w:r>
      <w:r w:rsidR="00351487">
        <w:t xml:space="preserve"> *</w:t>
      </w:r>
    </w:p>
    <w:p w14:paraId="490C452F" w14:textId="44324099" w:rsidR="005307E4" w:rsidRDefault="005307E4" w:rsidP="00F7414D">
      <w:pPr>
        <w:pStyle w:val="ListParagraph"/>
        <w:numPr>
          <w:ilvl w:val="1"/>
          <w:numId w:val="1"/>
        </w:numPr>
        <w:spacing w:after="0"/>
      </w:pPr>
      <w:r>
        <w:t>Approved academic honesty statement</w:t>
      </w:r>
      <w:r w:rsidR="00351487">
        <w:t xml:space="preserve"> *</w:t>
      </w:r>
    </w:p>
    <w:p w14:paraId="76C6FBD4" w14:textId="3F6DBADE" w:rsidR="005307E4" w:rsidRDefault="00B94A27" w:rsidP="005307E4">
      <w:pPr>
        <w:pStyle w:val="ListParagraph"/>
        <w:numPr>
          <w:ilvl w:val="0"/>
          <w:numId w:val="1"/>
        </w:numPr>
        <w:spacing w:after="0"/>
      </w:pPr>
      <w:r>
        <w:t>Enter Bulletin description, matching the course description on the syllabus exactly.</w:t>
      </w:r>
    </w:p>
    <w:p w14:paraId="6242C7C2" w14:textId="5EA53408" w:rsidR="00B94A27" w:rsidRDefault="00B94A27" w:rsidP="005307E4">
      <w:pPr>
        <w:pStyle w:val="ListParagraph"/>
        <w:numPr>
          <w:ilvl w:val="0"/>
          <w:numId w:val="1"/>
        </w:numPr>
        <w:spacing w:after="0"/>
      </w:pPr>
      <w:r>
        <w:t>Enter course requisites.</w:t>
      </w:r>
    </w:p>
    <w:p w14:paraId="459A37AB" w14:textId="28B81836" w:rsidR="00B94A27" w:rsidRDefault="00B94A27" w:rsidP="00B94A27">
      <w:pPr>
        <w:pStyle w:val="ListParagraph"/>
        <w:numPr>
          <w:ilvl w:val="0"/>
          <w:numId w:val="1"/>
        </w:numPr>
        <w:spacing w:after="0"/>
      </w:pPr>
      <w:r>
        <w:t>Provide thorough answers to the questions regarding the justification for course change:</w:t>
      </w:r>
    </w:p>
    <w:p w14:paraId="0BED364D" w14:textId="71D01D73" w:rsidR="00B94A27" w:rsidRPr="00B94A27" w:rsidRDefault="00576452" w:rsidP="00B94A27">
      <w:pPr>
        <w:pStyle w:val="ListParagraph"/>
        <w:numPr>
          <w:ilvl w:val="1"/>
          <w:numId w:val="1"/>
        </w:numPr>
        <w:spacing w:after="0"/>
      </w:pPr>
      <w:r w:rsidRPr="00B94A27">
        <w:rPr>
          <w:rFonts w:eastAsia="Times New Roman" w:cstheme="minorHAnsi"/>
          <w:color w:val="333333"/>
        </w:rPr>
        <w:t xml:space="preserve">1. What </w:t>
      </w:r>
      <w:r w:rsidR="00BC690E">
        <w:rPr>
          <w:rFonts w:eastAsia="Times New Roman" w:cstheme="minorHAnsi"/>
          <w:color w:val="333333"/>
        </w:rPr>
        <w:t>need does this course fill for the Academic Unit and NDSU mission and strategic plan?</w:t>
      </w:r>
      <w:r w:rsidR="00EC0F9A" w:rsidRPr="00B94A27">
        <w:rPr>
          <w:rFonts w:eastAsia="Times New Roman" w:cstheme="minorHAnsi"/>
          <w:color w:val="333333"/>
        </w:rPr>
        <w:t xml:space="preserve"> </w:t>
      </w:r>
      <w:r w:rsidRPr="00B94A27">
        <w:rPr>
          <w:rFonts w:eastAsia="Times New Roman" w:cstheme="minorHAnsi"/>
          <w:color w:val="333333"/>
        </w:rPr>
        <w:br/>
        <w:t xml:space="preserve">2. </w:t>
      </w:r>
      <w:r w:rsidR="00EC0F9A">
        <w:rPr>
          <w:rFonts w:eastAsia="Times New Roman" w:cstheme="minorHAnsi"/>
          <w:color w:val="333333"/>
        </w:rPr>
        <w:t>What data was used to determine the demand for this course?</w:t>
      </w:r>
    </w:p>
    <w:p w14:paraId="2015E55E" w14:textId="498BC497" w:rsidR="00B94A27" w:rsidRPr="00B94A27" w:rsidRDefault="00B94A27" w:rsidP="00876AB0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B94A27">
        <w:rPr>
          <w:rFonts w:eastAsia="Times New Roman" w:cstheme="minorHAnsi"/>
          <w:color w:val="333333"/>
        </w:rPr>
        <w:t xml:space="preserve">Provide thorough answers to the </w:t>
      </w:r>
      <w:r w:rsidR="00EC0F9A">
        <w:rPr>
          <w:rFonts w:eastAsia="Times New Roman" w:cstheme="minorHAnsi"/>
          <w:color w:val="333333"/>
        </w:rPr>
        <w:t>role of the course in the curricula.</w:t>
      </w:r>
    </w:p>
    <w:p w14:paraId="39AB21CF" w14:textId="53438D2D" w:rsidR="00B94A27" w:rsidRDefault="00576452" w:rsidP="00B94A27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B94A27">
        <w:rPr>
          <w:rFonts w:eastAsia="Times New Roman" w:cstheme="minorHAnsi"/>
          <w:color w:val="333333"/>
        </w:rPr>
        <w:t xml:space="preserve">1. </w:t>
      </w:r>
      <w:r w:rsidR="00EC0F9A">
        <w:rPr>
          <w:rFonts w:eastAsia="Times New Roman" w:cstheme="minorHAnsi"/>
          <w:color w:val="333333"/>
        </w:rPr>
        <w:t>Are you proposing this for general education?</w:t>
      </w:r>
    </w:p>
    <w:p w14:paraId="6E9CFE2C" w14:textId="13356A75" w:rsidR="00B94A27" w:rsidRDefault="00576452" w:rsidP="00B94A27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B94A27">
        <w:rPr>
          <w:rFonts w:eastAsia="Times New Roman" w:cstheme="minorHAnsi"/>
          <w:color w:val="333333"/>
        </w:rPr>
        <w:t xml:space="preserve">2. </w:t>
      </w:r>
      <w:r w:rsidR="00EC0F9A">
        <w:rPr>
          <w:rFonts w:eastAsia="Times New Roman" w:cstheme="minorHAnsi"/>
          <w:color w:val="333333"/>
        </w:rPr>
        <w:t>What programs will utilize this course?</w:t>
      </w:r>
    </w:p>
    <w:p w14:paraId="3F61AD9B" w14:textId="2433356C" w:rsidR="00B94A27" w:rsidRDefault="00576452" w:rsidP="00B94A27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B94A27">
        <w:rPr>
          <w:rFonts w:eastAsia="Times New Roman" w:cstheme="minorHAnsi"/>
          <w:color w:val="333333"/>
        </w:rPr>
        <w:t xml:space="preserve">3. </w:t>
      </w:r>
      <w:r w:rsidR="00EC0F9A">
        <w:rPr>
          <w:rFonts w:eastAsia="Times New Roman" w:cstheme="minorHAnsi"/>
          <w:color w:val="333333"/>
        </w:rPr>
        <w:t>Is this course replacing a current course in any of the programs listed above?</w:t>
      </w:r>
    </w:p>
    <w:p w14:paraId="5F622F6E" w14:textId="391FAE69" w:rsidR="00576452" w:rsidRPr="00EC0F9A" w:rsidRDefault="00576452" w:rsidP="00EC0F9A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B94A27">
        <w:rPr>
          <w:rFonts w:eastAsia="Times New Roman" w:cstheme="minorHAnsi"/>
          <w:color w:val="333333"/>
        </w:rPr>
        <w:lastRenderedPageBreak/>
        <w:t xml:space="preserve">4. </w:t>
      </w:r>
      <w:r w:rsidR="00EC0F9A">
        <w:rPr>
          <w:rFonts w:eastAsia="Times New Roman" w:cstheme="minorHAnsi"/>
          <w:color w:val="333333"/>
        </w:rPr>
        <w:t>Please explain the justification for any increase in program credit hours by adding this course (if no increase, state N/A)</w:t>
      </w:r>
    </w:p>
    <w:p w14:paraId="5AEC3821" w14:textId="65908741" w:rsidR="00EC0F9A" w:rsidRDefault="00EC0F9A" w:rsidP="00B94A27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Consideration of course </w:t>
      </w:r>
      <w:proofErr w:type="gramStart"/>
      <w:r>
        <w:rPr>
          <w:rFonts w:eastAsia="Times New Roman" w:cstheme="minorHAnsi"/>
          <w:color w:val="333333"/>
        </w:rPr>
        <w:t>overlap</w:t>
      </w:r>
      <w:proofErr w:type="gramEnd"/>
      <w:r>
        <w:rPr>
          <w:rFonts w:eastAsia="Times New Roman" w:cstheme="minorHAnsi"/>
          <w:color w:val="333333"/>
        </w:rPr>
        <w:t>.</w:t>
      </w:r>
    </w:p>
    <w:p w14:paraId="788E860D" w14:textId="77777777" w:rsidR="00EC0F9A" w:rsidRDefault="00EC0F9A" w:rsidP="00EC0F9A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What other NDSU courses cover similar course content?</w:t>
      </w:r>
    </w:p>
    <w:p w14:paraId="7FC493D8" w14:textId="757E37B6" w:rsidR="00EC0F9A" w:rsidRDefault="00EC0F9A" w:rsidP="00EC0F9A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If one or more similar courses exist, why is this course overlap necessary?</w:t>
      </w:r>
    </w:p>
    <w:p w14:paraId="66D6465F" w14:textId="0414C1C9" w:rsidR="00EC0F9A" w:rsidRDefault="00F25161" w:rsidP="00EC0F9A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Obtain and attach letters of support from other departments and/or colleges when the subject matter has subject overlap in another area.</w:t>
      </w:r>
    </w:p>
    <w:p w14:paraId="2B5AE30F" w14:textId="5CFEDF07" w:rsidR="00EC0F9A" w:rsidRPr="00EC0F9A" w:rsidRDefault="00EC0F9A" w:rsidP="00EC0F9A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List the course learning objectives.</w:t>
      </w:r>
    </w:p>
    <w:p w14:paraId="1FBCBF99" w14:textId="29D968FC" w:rsidR="00BC690E" w:rsidRDefault="00BC690E" w:rsidP="00B94A27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Policy 331.1 includes the following statement with regard to 400/600 dual courses:</w:t>
      </w:r>
    </w:p>
    <w:p w14:paraId="6EC3C6D7" w14:textId="391A5381" w:rsidR="00BC690E" w:rsidRPr="00BC690E" w:rsidRDefault="00BC690E" w:rsidP="00BC690E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t>“For courses offered for both undergraduate and graduate credit, course objectives should be written to clearly define the increased expectations for graduate students in these courses”</w:t>
      </w:r>
    </w:p>
    <w:p w14:paraId="42023BB4" w14:textId="75E3AC57" w:rsidR="00BC690E" w:rsidRDefault="00BC690E" w:rsidP="00BC690E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In order to meet this directive, the 600-level course needs to have at least one additional learning objective above and beyond the learning objectives for the 400-level course</w:t>
      </w:r>
    </w:p>
    <w:p w14:paraId="3A5787C2" w14:textId="63B5FB1B" w:rsidR="00BC690E" w:rsidRDefault="00BC690E" w:rsidP="00BC690E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The 600-level course needs to include additional graduate-level work that results in a substantive change in the grading scheme for the course</w:t>
      </w:r>
    </w:p>
    <w:p w14:paraId="4F60E498" w14:textId="77777777" w:rsidR="007E599C" w:rsidRDefault="007E599C" w:rsidP="008B6EA4">
      <w:pPr>
        <w:pStyle w:val="ListParagraph"/>
        <w:numPr>
          <w:ilvl w:val="0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Grading scales on syllabi should not include gaps that are unclear.</w:t>
      </w:r>
    </w:p>
    <w:p w14:paraId="576F2C53" w14:textId="1801E57A" w:rsidR="008B6EA4" w:rsidRDefault="007E599C" w:rsidP="007E599C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For example, a scale which lists an A as 90% - 100% and a B as 80% - 89% leaves a gap that a grade could easily fall between.</w:t>
      </w:r>
    </w:p>
    <w:p w14:paraId="1BCD4048" w14:textId="4C03754D" w:rsidR="007E599C" w:rsidRDefault="007E599C" w:rsidP="007E599C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A more concise scale would be an A is &gt;= 90%, a B is &gt;= 80% and &lt; 90%. </w:t>
      </w:r>
    </w:p>
    <w:p w14:paraId="3BB7EBDB" w14:textId="67F1282F" w:rsidR="007E599C" w:rsidRPr="00B94A27" w:rsidRDefault="007E599C" w:rsidP="007E599C">
      <w:pPr>
        <w:pStyle w:val="ListParagraph"/>
        <w:numPr>
          <w:ilvl w:val="1"/>
          <w:numId w:val="1"/>
        </w:num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A scale which lists an A as 90.00% - 100.00% and a B as 80.00% - 89.99% is deemed sufficient, as a grade is unlikely to fall between that gap.</w:t>
      </w:r>
    </w:p>
    <w:p w14:paraId="54C286C5" w14:textId="77777777" w:rsidR="00576452" w:rsidRPr="00B94A27" w:rsidRDefault="00576452" w:rsidP="00F7414D">
      <w:pPr>
        <w:spacing w:after="0"/>
        <w:rPr>
          <w:rFonts w:cstheme="minorHAnsi"/>
        </w:rPr>
      </w:pPr>
    </w:p>
    <w:p w14:paraId="45B91E6A" w14:textId="77777777" w:rsidR="000A7FD2" w:rsidRPr="00B94A27" w:rsidRDefault="000A7FD2" w:rsidP="00F7414D">
      <w:pPr>
        <w:spacing w:after="0"/>
        <w:rPr>
          <w:rFonts w:cstheme="minorHAnsi"/>
        </w:rPr>
      </w:pPr>
    </w:p>
    <w:sectPr w:rsidR="000A7FD2" w:rsidRPr="00B9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12570"/>
    <w:multiLevelType w:val="hybridMultilevel"/>
    <w:tmpl w:val="CE981F26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C6"/>
    <w:rsid w:val="00011FB8"/>
    <w:rsid w:val="000A7FD2"/>
    <w:rsid w:val="000B0C39"/>
    <w:rsid w:val="000C779F"/>
    <w:rsid w:val="00282901"/>
    <w:rsid w:val="002B4359"/>
    <w:rsid w:val="00351487"/>
    <w:rsid w:val="00427CCC"/>
    <w:rsid w:val="004609FA"/>
    <w:rsid w:val="004A5B1B"/>
    <w:rsid w:val="004F549A"/>
    <w:rsid w:val="00504BB3"/>
    <w:rsid w:val="00506BC6"/>
    <w:rsid w:val="005307E4"/>
    <w:rsid w:val="0055595E"/>
    <w:rsid w:val="00574306"/>
    <w:rsid w:val="00576452"/>
    <w:rsid w:val="007B1AD0"/>
    <w:rsid w:val="007E599C"/>
    <w:rsid w:val="008B6EA4"/>
    <w:rsid w:val="00A2027A"/>
    <w:rsid w:val="00A93615"/>
    <w:rsid w:val="00A94597"/>
    <w:rsid w:val="00AE210E"/>
    <w:rsid w:val="00B94A27"/>
    <w:rsid w:val="00BC690E"/>
    <w:rsid w:val="00E90506"/>
    <w:rsid w:val="00EC0F9A"/>
    <w:rsid w:val="00F016F2"/>
    <w:rsid w:val="00F25161"/>
    <w:rsid w:val="00F51A34"/>
    <w:rsid w:val="00F7414D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C0B7"/>
  <w15:chartTrackingRefBased/>
  <w15:docId w15:val="{868D1C96-50FE-4089-840B-815B2C0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F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F54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3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76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09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su.edu/fileadmin/policy/331_1.pdf" TargetMode="External"/><Relationship Id="rId5" Type="http://schemas.openxmlformats.org/officeDocument/2006/relationships/hyperlink" Target="https://www.ndsu.edu/facultysenate/committees_1/uc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16</cp:revision>
  <dcterms:created xsi:type="dcterms:W3CDTF">2022-06-02T14:45:00Z</dcterms:created>
  <dcterms:modified xsi:type="dcterms:W3CDTF">2023-11-15T20:36:00Z</dcterms:modified>
</cp:coreProperties>
</file>